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ac912308d0e435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777 期</w:t>
        </w:r>
      </w:r>
    </w:p>
    <w:p>
      <w:pPr>
        <w:jc w:val="center"/>
      </w:pPr>
      <w:r>
        <w:r>
          <w:rPr>
            <w:rFonts w:ascii="Segoe UI" w:hAnsi="Segoe UI" w:eastAsia="Segoe UI"/>
            <w:sz w:val="32"/>
            <w:color w:val="000000"/>
            <w:b/>
          </w:rPr>
          <w:t>COLLEGE OF INTERNATIONAL STUDIES TO HOLD CONFERENCE ON TAIWAN’S RELATION WITH THE WORLD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College of International Studies will hold a conference, “Taiwan’s relation with the world in 2010,” which focuses on the nation’s relations with the rest of the world. The conference is divided into four sessions, dealing respectively with Taiwan’s relation with Europe, America, East Asia, South East Asia and the China. Dr. Chiu-ching Kuo, Chair of Graduate Institute of European Studies, said that the study of Taiwan’s relations with the world is an important issue for the country. Such a study is based on social science and is aimed at a better understanding of each region’s politics, foreign affairs, and economy issues as well as global environment as a whole. Through such a study one can better help Taiwan’s international development. ( ~Yeh Yun-kai )</w:t>
          <w:br/>
        </w:r>
      </w:r>
    </w:p>
  </w:body>
</w:document>
</file>