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7efbae581a4ab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784 期</w:t>
        </w:r>
      </w:r>
    </w:p>
    <w:p>
      <w:pPr>
        <w:jc w:val="center"/>
      </w:pPr>
      <w:r>
        <w:r>
          <w:rPr>
            <w:rFonts w:ascii="Segoe UI" w:hAnsi="Segoe UI" w:eastAsia="Segoe UI"/>
            <w:sz w:val="32"/>
            <w:color w:val="000000"/>
            <w:b/>
          </w:rPr>
          <w:t>RITSUMEIKAN UNIVERSITY TO EXCHANGE STUDENTS WITH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5-person delegate of Ritsumeikan University, led by Dr. Shuhei Ninomiya, Dean of College of Law, visited TKU on April 16 to discuss academic communication programs between both schools. They were received by Dr. Chen Kan-nan, Vice President for Academic Affairs at FL 505. Dr. Shuhei indicates that Ritsumeikan University is one of the 13 schools funded by Japan’s Ministry of Education in the internationalization project of “Global 30.” Hence they expect to make contract on exchanging students with TKU. Dr. Lee Pei-wha, Director of Office of International Exchanges and International Education, points out that this year the quantity of students who go to Japan for abroad studies in TKU outnumbers that in all other schools. In order to offer more choices for those students, we are glad to make further communication program with Ritsumeikan University. Dr. Shuhei praised TKU’s advanced development in cyber campus and high recognition in educational evaluation, which are good models for his school. ( ~Chen Chi-szu )</w:t>
          <w:br/>
        </w:r>
      </w:r>
    </w:p>
  </w:body>
</w:document>
</file>