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efdc20f8c46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ESI排名1%淡江再進榜  被引用次數平均論文數增加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根據日前財團法人高等教育評鑑中心基金會所發行的《評鑑》雙月刊報導，2010年台灣ESI論文統計結果，全球ESI論文及被引用次數排名前1%的學校，台灣有39校進榜，本校再次名列其中，論文數排名居全國第16，與去年持平；今年增加亞洲排名，本校為280名，在世界排名表現進步4名，為1,012名。工程及化學學門也再度進榜，工程學門論文數排名進步10名，為365名；化學學門排名則略為下滑。學術副校長陳幹男表示，淡江整體表現進步，但從排名上可發現，其他學校也正在加緊腳步，甚至超前，「我們進步，別人也在進步。」
</w:t>
          <w:br/>
          <w:t>基本科學指標（Essential Science Indicators，簡稱ESI）是美國科學資訊研究所針對論文被引次數為世界前1%的機構進行統計分析排名，本校今年平均被引次數由去年每篇3.94次提升為4.39次；每位教師平均論文數由去年3.68篇提升為3.91篇；高被引論文數為6篇，較去年增加1篇，該指數不僅反映出論文的品質與重要性，亦是論文在國際上影響力的表現。工程學門ESI論文被引次數為第507，進步25名，論文數亞洲排名則為112名，被引用次數亞洲排名為124名；化學學門ESI論文數排名為第622，較去年下滑12名，被引次數為第866，下滑27名，論文數亞洲排名為183名，被引次數亞洲排名222名。
</w:t>
          <w:br/>
          <w:t>陳幹男分析，本校圖書館統計，平均每位教師的論文數量由96年的0.7件，提升至今年的0.85件，數量增加但幅度不夠，研究質量還有進步的空間。他說明，學校將加強整頓重點計畫及整合研究，也希望透過研究獎勵的提高，讓全校教師「動起來」，「每位教師都是學術研究的分母，論文為分子，只要1位教師未提出研究，分子數就會被龐大的分母除掉。」陳幹男勉勵教師再接再厲視研究為本分，團隊研究很重要，全校教師為生命共同體，每位教師的表現都將影響淡江整體成績，希冀明年能有更多論文、更多不同學門加入排名，提升本校學術聲望之能見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496275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09e6d5d5-bf71-43bb-b57f-d77f60b72765.jpg"/>
                      <pic:cNvPicPr/>
                    </pic:nvPicPr>
                    <pic:blipFill>
                      <a:blip xmlns:r="http://schemas.openxmlformats.org/officeDocument/2006/relationships" r:embed="Rd7bdd64a14c64f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bdd64a14c64f1c" /></Relationships>
</file>