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695513caae48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學生圖書借閱量增為15冊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【記者符人懿淡水校園報導】本校第115次行政會議於28日在驚聲國際會議廳召開，會中通過，專任教師研究獎助類別將新增THCI Core（臺灣人文學引文索引核心期刊）；圖書館為落實學生議會之建議，大學部學生圖書借閱量從每次10冊增加為15冊，圖書館館長黃鴻珠表示，新規定待校長批示核可後實施。
</w:t>
          <w:br/>
          <w:t>另外，研發處「資訊應用研究中心」、「產業暨金融研究中心」及「全球化與文化差異研究中心」等3個中心將自99學年度起撤銷；另配合國家產業升級政策；整合法律、土木與建築等不同的研究人員，新成立「整合戰略與科技中心」及「工程法律研究發展中心」；並將「漢學研究中心」改隸文學院，俾利整合文學院內部資源，推動整合型計畫。
</w:t>
          <w:br/>
          <w:t>此外，「服務學習課程」內容分為「校園服務學習」及「社區服務學習」，為免學生選課時混淆及造成畢業學分認定疑慮，將更名為「校園與社區服務學習」。
</w:t>
          <w:br/>
          <w:t>會議提案之一，討論「淡江建校一甲子，在邁進第五波的未來，本校之定位如何更明確化。」行政副校長高柏園針對學校現況指出，學校的資源有限，學雜費收入成長機會不大，而文化大學成人教育部、逢甲大學研發部的成效卓著，為其學校增加收入，本校也應該借鏡。
</w:t>
          <w:br/>
          <w:t>理學院院長王伯昌表示，理學院目前已經展開對策，未來將加強至高中招生宣傳，另將加強與業界產學合作，甚至部分課程與企業合作，使課程活化。而工學院計劃實施的「五年一貫制」能夠讓優秀學生留在本校繼續進修，提升整體學生素質，高柏園表示，希望未來能夠推廣到其他系所。該案尚未作出決議，校長張家宜指示，將來繼續討論。</w:t>
          <w:br/>
        </w:r>
      </w:r>
    </w:p>
  </w:body>
</w:document>
</file>