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d0698c09947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↑陳幹男(左三)教授接下印信，接任本校學術副校長。戴萬欽(右一)教授成為國際事務副校長。(馮文星攝)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↑陳幹男(左三)教授接下印信，接任本校學術副校長。戴萬欽(右一)教授成為國際事務副校長。(馮文星攝)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316736"/>
              <wp:effectExtent l="0" t="0" r="0" b="0"/>
              <wp:docPr id="1" name="IMG_bec695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4/m\84e5cb37-360c-4912-ab5e-5e69937f63ab.jpg"/>
                      <pic:cNvPicPr/>
                    </pic:nvPicPr>
                    <pic:blipFill>
                      <a:blip xmlns:r="http://schemas.openxmlformats.org/officeDocument/2006/relationships" r:embed="R9dd8c48e90b345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316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d8c48e90b34593" /></Relationships>
</file>