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13f38d23c42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跳脫慣性 創新未來發展      校長張家宜開幕致詞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正逢本校60週年，特別以「淡江一甲子的圓滿」作為序幕。在創辦人、董事會、歷任校長的帶領，以及過去60年來同仁的打拚下，開創出許多傲人的成績。本校也由第三波邁入第四波，因此淡江正式邁入新紀元，未來將更努力走向永續經營、優質精緻的理念。
</w:t>
          <w:br/>
          <w:t>面對60週年之後的規劃，首先以管理大師彼得‧杜拉克「不連續的時代」之概念，強調新科技能帶來新產業，也可能造成傳統產業沒落，在全球化趨勢經濟體形成後，跨國跨領域的趨勢成為主軸，因此課程、學分亦應加強跨領域學習，朝「多元化」發展，加上知識資本取代傳統生產因素，以及人口結構改變產生的少子化，都顯現出「不連續」的創新、跳躍思考模式是重要的革新方法。以慶祝60週年旗幟為例，可將「慶祝60週年」字樣改為「diamond jubilee」，讓大家跳脫慣性思考模式，在生活中小細節尋求創新。
</w:t>
          <w:br/>
          <w:t>第二，以「黑天鵝效應」作為引薦，在無法事先預測的情況下，應接受並做好預防。第三，面臨少子化，私校應有所警惕，加上學生素質下降，都是當前危機，須正視並處裡。第四，高等教育機構面臨減招、合併、退場，以本校今年被減招約140位學生為戒，各系所及行政單位應嚴謹面對評鑑。
</w:t>
          <w:br/>
          <w:t>因此，首先本校應清楚自我定位，同仁持續學習、以達組織願景及使命。第二，徹底執行分級授權，強調團隊合作，以超越、滿足顧客需求。第三，注重市場導向與多元發展，在學生培養上應符合全球競爭，以創造未來。
</w:t>
          <w:br/>
          <w:t>本校面臨的挑戰，第一，師資、學生獎補助在大環境下面臨高度的競爭，要突破重圍，各單位應徹底研究量化指標、相關績效責任。第二、本校財務短缺使辦學受限，前幾年新建蘭陽校園與外語大樓等已告一段落，未來須將經費投入教學研究。第三，優質人才提升是將來三年的重點發展，教師對活動的參與度不明顯，未來應推動教師參與活動、凝聚共識。
</w:t>
          <w:br/>
          <w:t>對於策略規劃，各系所應重新研究其環境系統、輸入、過程、輸出、學習成效，一連串流程；其中，以學習成效為重點，以學生發展、就業能力、升學準備為例，應加以整合、評估其優勢與目標，並持續追蹤。
</w:t>
          <w:br/>
          <w:t>最後，在淡江新紀元的發展上，以四大項作為主軸。一、精進教師能力、強化學生學習：強化各院系定位，規劃發展特色重點；理性思考、了解新生入學程度；以學生學習成果為主、訂定具挑戰的KPI；以兩岸四地為目標，強化學生全球競爭力。二、提升研究能量、落實產學創育：訂定具體產學合作指標；分析教學研究獎勵辦法、具體成效等。三、持續品質管理、建設優質校園：強化組織文化、凝聚團隊共識、落實PDCA。人力發展上，重視教師發展，一方面推動教師領導管理課程、各系所則加強專業訓練；資源發展上，運用企業文化、獎優汰劣；特色發展上，各系所應畫分教學型、研究型等不同模式，進行發展與資源分配。四、應用社會服務、深化終身教育：以服務學習為例，未來應融入專業技能，有效落實社會服務；國際化層面則須加強外籍生學習、兩岸學生交流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35680"/>
              <wp:effectExtent l="0" t="0" r="0" b="0"/>
              <wp:docPr id="1" name="IMG_efaa8d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1/m\2ddad120-71c3-4526-aa72-702242b9c4a3.jpg"/>
                      <pic:cNvPicPr/>
                    </pic:nvPicPr>
                    <pic:blipFill>
                      <a:blip xmlns:r="http://schemas.openxmlformats.org/officeDocument/2006/relationships" r:embed="R84d7b2b555aa43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35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d7b2b555aa4346" /></Relationships>
</file>