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d3af74418e4a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The Fujian International Business and Economic College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2nd of Nov., delegates from the Fujian International Business and Economic College (FIBEC) visited the TKU Cham Pion Incubation Center at the Tamsui Campus. They were received by the Chairman of TKU’s Department of Banking and Finance, Dr. Chiu Chien-Liang, who provided a brief overview of TKU’s academic credit program, and discussed the mutual exchange of talented personnel and prospects for closer collaboration with the business sector. 
</w:t>
          <w:br/>
          <w:t>
</w:t>
          <w:br/>
          <w:t>The Director of the Cham Pion Incubation Center, Dr. Shaw Ruey-shiang, explained that FIBEC came to talk about the possibility of FIBEC students taking courses at the TKU College of Business, and integrating the knowledge acquired in such courses with practical business cooperative schemes offered by the Cham Pion Incubation Center. This would allow Mainland students to obtain a well-rounded, comprehensive business foundation, which they could then apply to their careers in Mainland China. Such a program would also spur the development of business cooperative schemes between TKU and institutions in the Fujian region of Mainland China.</w:t>
          <w:br/>
        </w:r>
      </w:r>
    </w:p>
  </w:body>
</w:document>
</file>