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d68ef4629d1427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813 期</w:t>
        </w:r>
      </w:r>
    </w:p>
    <w:p>
      <w:pPr>
        <w:jc w:val="center"/>
      </w:pPr>
      <w:r>
        <w:r>
          <w:rPr>
            <w:rFonts w:ascii="Segoe UI" w:hAnsi="Segoe UI" w:eastAsia="Segoe UI"/>
            <w:sz w:val="32"/>
            <w:color w:val="000000"/>
            <w:b/>
          </w:rPr>
          <w:t>網路校園動態</w:t>
        </w:r>
      </w:r>
    </w:p>
    <w:p>
      <w:pPr>
        <w:jc w:val="right"/>
      </w:pPr>
      <w:r>
        <w:r>
          <w:rPr>
            <w:rFonts w:ascii="Segoe UI" w:hAnsi="Segoe UI" w:eastAsia="Segoe UI"/>
            <w:sz w:val="28"/>
            <w:color w:val="888888"/>
            <w:b/>
          </w:rPr>
          <w:t>網路校園動態</w:t>
        </w:r>
      </w:r>
    </w:p>
    <w:p>
      <w:pPr>
        <w:jc w:val="left"/>
      </w:pPr>
      <w:r>
        <w:r>
          <w:rPr>
            <w:rFonts w:ascii="Segoe UI" w:hAnsi="Segoe UI" w:eastAsia="Segoe UI"/>
            <w:sz w:val="28"/>
            <w:color w:val="000000"/>
          </w:rPr>
          <w:t>本校教育科技學系及全球華商經營管理數位學習碩士在職專班，畢業人數已逾70人。
</w:t>
          <w:br/>
          <w:t>　而本校申請成立國際學院亞洲研究所數位學習碩士在職專班獲教育部通過認證，將於9月正式成立，不僅提升本校網路校園及國際交流之層次，更為我國外交及數位學習帶來新紀元。此外，文學院資訊與圖書館學系籌備成立數位出版與典藏數位學習碩士在職專班，將為本校網路校園再擴新版圖。（遠距組）</w:t>
          <w:br/>
        </w:r>
      </w:r>
    </w:p>
  </w:body>
</w:document>
</file>