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6264704c1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校務評鑑重點視窗：治理校務經營要項   三化教育為體 四理模式為用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校務評鑑重點視窗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項目二：校務治理與經營
</w:t>
          <w:br/>
          <w:t>
</w:t>
          <w:br/>
          <w:t>一、校長的治校理念
</w:t>
          <w:br/>
          <w:t>　三化教育為體、四理模式為用。
</w:t>
          <w:br/>
          <w:t>　三化：國際化、資訊化、未來化。四理模式：官僚、同僚、政治及企業模式。
</w:t>
          <w:br/>
          <w:t>　二、校務發展重點
</w:t>
          <w:br/>
          <w:t>　精進教師能力、強化學生學習。提升研究能量、落實產學創育應用社會服務、深化終身教育。持續品質管理、建設優質校園。
</w:t>
          <w:br/>
          <w:t>　三、校長的領導行動
</w:t>
          <w:br/>
          <w:t>　推動全面品質管理， 舉辦「淡江品質獎」；建構淡江品質屋，獲第19屆國家品質獎。
</w:t>
          <w:br/>
          <w:t>　四、校務發展規劃與擬訂之機制與運作
</w:t>
          <w:br/>
          <w:t>　1.校務發展機制：(1)校務發展規劃與執行委員會：擬訂重大校務發展計畫；(2)教育品質管理委員會：執掌本校近程、中程及長程校務發展計畫之研訂及管考事項。
</w:t>
          <w:br/>
          <w:t>　2.校務會議之運作：每學期召開一次審議校內重要事項，有完整會議紀錄及指示事項執
</w:t>
          <w:br/>
          <w:t>行追蹤機制。
</w:t>
          <w:br/>
          <w:t>　五、行政組織與相關委員會運作情形
</w:t>
          <w:br/>
          <w:t>　1.本校行政組織架構完善，權責劃分明確，悉依「淡江大學組織規程」建置，其主管之遴聘均符合相關規定。教學與行政單位均定期舉
</w:t>
          <w:br/>
          <w:t>行業務相關會議，並有完整會議紀錄。
</w:t>
          <w:br/>
          <w:t>　2.本校設有校、院、系（所）三級教師評審委員會、教師申訴評議委員會、性別平等教育委員會、ISO14001環境管理系統推動委員會、環境保護及安全衛生委員會、交通安全教育委員會；各種委員會訂有設置辦法，定期召開會議並建立完整紀錄。
</w:t>
          <w:br/>
          <w:t>　六、行政人力配置之運用
</w:t>
          <w:br/>
          <w:t>　1.為健全行政人力運用與分配機制，本校每兩年辦理一次行政人力分析與未來規劃作業，依業務及功能合理配置教學單位、行政單位及
</w:t>
          <w:br/>
          <w:t>蘭陽校園行政人力，合理配置人力，發揮最佳行政效率，提升服務品質。
</w:t>
          <w:br/>
          <w:t>　2.訂有「淡江大學分層負責明細表」作為行政作業權責劃分之依據。
</w:t>
          <w:br/>
          <w:t>　3.為落實符合師生需求之行政服務，89年3月起實施「淡江大學職員輪調辦法」、96年1月起實施「淡江大學職務代理人實施辦法」、97學年度起實施輪調前至新任單位見習20小時。
</w:t>
          <w:br/>
          <w:t>　4 . 專職之行政人員計6 9 6 人（ 含助教5 5人）、專任教師813人（含軍護教師28人）、自行約聘僱之專職行政人員151人、98學年度聘用短期專職行政人員146人。（資料日期為99年10月15日）
</w:t>
          <w:br/>
          <w:t>　七、校務行政電腦化之資訊安全與校園網路安全之管理與作業
</w:t>
          <w:br/>
          <w:t>　1.訂定明確之校園網路使用規範，確保網路使用之安全。
</w:t>
          <w:br/>
          <w:t>　2.已建置包括教務、學務、人事、會計、及出納等之整合性校務自動化系統。
</w:t>
          <w:br/>
          <w:t>　3.定期進行資訊安全與智慧財產權保護之宣導與檢核。
</w:t>
          <w:br/>
          <w:t>　4.網路使用環境，建置二層防火牆及防毒牆，輔以入侵防禦系統、防毒伺服器、信件掃毒及過濾等系統，形成一個穩健的網路安全防護網。
</w:t>
          <w:br/>
          <w:t>　5.電腦機房於民國93年8月通過英國標準協會BSI「BS7799資訊安全認證」，是全國第一個學術研究機構獲此殊榮者。
</w:t>
          <w:br/>
          <w:t>　八、檢核並提昇服務品質之作法本校自民國81年實施全面品質管理，經由PDCA達到行政品質持續改善之目的，做法有：
</w:t>
          <w:br/>
          <w:t>　1.定期召開行政會議、三長會報會議、全面品質管理研習會及教學與行政革新研討會等檢討會議。
</w:t>
          <w:br/>
          <w:t>　2.設置職工人事評議委員會並落實考績制度。
</w:t>
          <w:br/>
          <w:t>　3.實施獎勵優質行政人員措施。
</w:t>
          <w:br/>
          <w:t>　4.各行政單位均確實建立行政作業標準流程（SOP）為工作手冊。
</w:t>
          <w:br/>
          <w:t>　九、學生參與校務治理之情形。
</w:t>
          <w:br/>
          <w:t>　依校務運作機制，學生能參加各項會議，為學習與生活相關的校務建言，並參與決定。
</w:t>
          <w:br/>
          <w:t>　十、董事會之經營及監督機制本校依私立學校法設立董事會組織，訂定董事會組織章程及捐助章程。主要執掌為遴選校長及審議校務，包括預算、決算及不動產的購置及處分之審議。董事會依規定定期召開會
</w:t>
          <w:br/>
          <w:t>議，會議紀錄報部核備，並公布於學校網頁。
</w:t>
          <w:br/>
          <w:t>　十一、本校會計制度
</w:t>
          <w:br/>
          <w:t>　1.本校依校務發展計畫，結合發展策略與預算規模，透過預算編審與控管，確保資源分配之合理性，以落實短、中、長程目標。
</w:t>
          <w:br/>
          <w:t>　2.本校會計制度健全，訂有標準化作業程序，以強化審核及控管。
</w:t>
          <w:br/>
          <w:t>　3.本校權益基金主要投入教學研究所需之固定資產，並無股票或債券等投資活動，以確保穩健經營。
</w:t>
          <w:br/>
          <w:t>　4.本校財務報表經會計師簽證、經費稽核委員會審議後，提報校務會議及全體董事會議，並公告於本校網站。
</w:t>
          <w:br/>
          <w:t>　5.本校預算控制嚴謹，並設有經費稽核委員會定期檢討經費之使用與管理。
</w:t>
          <w:br/>
          <w:t>　6.本校依規定足額提撥退休撫卹基金，並建立退休福利儲金制度。
</w:t>
          <w:br/>
          <w:t>　十二、追求國際化之作法
</w:t>
          <w:br/>
          <w:t>　1.訂有國際合作協議、獎補助辦法及專責人力：淡江講座與特約講座、補助舉辦國際研討會、獎助師生參加國際會議。設有「國際交流暨國際教育處」及「兩岸學術合作專案小組」，負責策劃及執行交流業務。
</w:t>
          <w:br/>
          <w:t>　2.師生積極參與國際性學術與學習交流活動：(1)國際交流活動、(2)國際學習機制、(3)大三學生出國留學計畫。
</w:t>
          <w:br/>
          <w:t>　3.吸引國際學生之機制：(1)英文學習環境之強化、(2)跨國雙學位合作計畫與國際學生：與13所大學建立15個跨國雙學位合作計畫，與49校持續進行學生交換計畫。
</w:t>
          <w:br/>
          <w:t>　4.促進國際化之課程：(1)通核課程開設「全球視野」學門；各系每學期至少一門必修課採英語授課；與日本早稻田大學合作開設英、日語遠距視訊課程。(2)蘭陽校園及國際企業學系英語專班90%以上英語授課、大三生赴海外修課一年。
</w:t>
          <w:br/>
          <w:t>　5.僑生輔導：訂定僑生學習與生活輔導之機制，包括入學、課業、生活及課外活動輔導。
</w:t>
          <w:br/>
          <w:t>　十三、宣傳管道
</w:t>
          <w:br/>
          <w:t>　本校利用網路、平面刊物等大眾媒體，或會議或座談會及教師教學評鑑等各種管道，定期向利害關係人公布相關之校務資訊。平面刊物包括年度績效報告，包括：校務自我評鑑報告書、畢業流向追蹤調查報告、大學排名研究報告等。</w:t>
          <w:br/>
        </w:r>
      </w:r>
    </w:p>
  </w:body>
</w:document>
</file>