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7b21bcedf43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第65次校務會議 推升學術地位  確立9特色學系專題報告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【記者歐書函淡水校園報導】第65次校務會議於8日在覺生國際會議廳舉行，通過第119次行政會議多項提案，會中由學術副校長虞國興和品質保證稽核室主任白滌清，進行專題報告。
</w:t>
          <w:br/>
          <w:t>校長張家宜表示，100學年度將落實產學合作、給予各院資深副教授的輔導，及深化姊妹校的交流。並指出，本校有100多所各具特色的姊妹校，各系可各自與其推動合作事宜，或找一所標竿學校為學術榜樣。在課程方面，今年服務學習的預算少，可望明年各系院大量的投入，100學年度將增設首辦社團經營與團隊發展學門。另外，品保室將逐步推動稽核工作，各單位也應自行建立品質保證機制。
</w:t>
          <w:br/>
          <w:t>虞國興表示，本次提出校務發展計畫，教學與研究有7面向，以明定本校重點發展領域、確立各院特色學系，並落實產學合作。教學方面為「打造各學院教學特色」、「延聘業師與大師」、「發展學分學程」、「強化英語授課發展」、「深化姊妹校交流」、「提升生源多元化」、「改善教學環境」；在研究方面有「打造頂尖研究領域」、「延聘熊貓級教授」、「提升產學合作」、「形塑特色學系」、「加強國內外校際研究合作」、「五年一貫學碩士學位」、「改善研究環境」等，其中「形塑特色學系」確立9個特色學系為：中文系、物理系、電機系、產經系、資管系、英文系、陸研所、教科系、國際觀光管理系。
</w:t>
          <w:br/>
          <w:t>會計室說明100學年度的經費規畫，原有預算多將分配到新的發展性業務，並期望各單位控管流用。在組織調整及更名的部分，部分單位名稱「室」改為「處」，部分一級單位「主任」改為「長」；為取得AACSB認證，商學院及管理學院將合併，更名為「商管學院」。另外，為因應司法院大法官釋字第684號解釋，該號解釋最重要意義為全部的大學生擁有行政訴訟權，而本校應檢視學生權益相關法規、保障學生程序權，以強化本校學生申訴制度。</w:t>
          <w:br/>
        </w:r>
      </w:r>
    </w:p>
  </w:body>
</w:document>
</file>