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abcf704e0b142b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832 期</w:t>
        </w:r>
      </w:r>
    </w:p>
    <w:p>
      <w:pPr>
        <w:jc w:val="center"/>
      </w:pPr>
      <w:r>
        <w:r>
          <w:rPr>
            <w:rFonts w:ascii="Segoe UI" w:hAnsi="Segoe UI" w:eastAsia="Segoe UI"/>
            <w:sz w:val="32"/>
            <w:color w:val="000000"/>
            <w:b/>
          </w:rPr>
          <w:t>Mid-Autumn Evening Banquet</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the evening of September 10, Lanyang Campus held its annual Mid-Autumn Festival activity – an evening banquet designed to bring the students, faculty and staff at TKU’s Lanyang Campus closer. The event kicked off with a power-packed dance display organized by the TKU Dance Club, followed by performances by the Lanyang Rock Music Society. Fourth year student He Hsin-ru commented “I’m so happy to have the chance to get together with fellow classmates after coming back from my Junior Year Abroad. But seeing all the new 1st and 2nd year students and thinking that I’m going to graduate and join the workforce soon makes me a little nervous”.</w:t>
          <w:br/>
        </w:r>
      </w:r>
    </w:p>
  </w:body>
</w:document>
</file>