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6c8bb029605490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835 期</w:t>
        </w:r>
      </w:r>
    </w:p>
    <w:p>
      <w:pPr>
        <w:jc w:val="center"/>
      </w:pPr>
      <w:r>
        <w:r>
          <w:rPr>
            <w:rFonts w:ascii="Segoe UI" w:hAnsi="Segoe UI" w:eastAsia="Segoe UI"/>
            <w:sz w:val="32"/>
            <w:color w:val="000000"/>
            <w:b/>
          </w:rPr>
          <w:t>TKU Graduate Institutes Favored by Taiwanese Enterprises</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Each year, Global Views Monthly and 104 Job Bank team up to conduct surveys in a variety of areas. These surveys then become key reference points for public and provide institutions throughout Taiwan. One recent survey conducted was the “2012 Employers’ Favorite Graduate Institute” Survey, which examined the most popular Graduate Institutes among employers in seven separate academic fields. In two of these fields – “information, engineering, and electrical engineering” and “business / management, finance, and tourism” – Tamkang ranked first among all private universities in Taiwan.
</w:t>
          <w:br/>
          <w:t>
</w:t>
          <w:br/>
          <w:t>The Dean of the TKU College of Engineering, Dr. Ho Chi-dong, noted that in recent years, the College of Engineering has made great strides forward in both research and cooperation with business.” In the TKU University Development Plan for 2011, the College of Engineering features as a major focus for future development. “We’re not going to let other universities catch up to us. We’re going to keep on improving and moving forward,” added Dr. Ho.</w:t>
          <w:br/>
        </w:r>
      </w:r>
    </w:p>
  </w:body>
</w:document>
</file>