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c3ea4207ef34e5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841 期</w:t>
        </w:r>
      </w:r>
    </w:p>
    <w:p>
      <w:pPr>
        <w:jc w:val="center"/>
      </w:pPr>
      <w:r>
        <w:r>
          <w:rPr>
            <w:rFonts w:ascii="Segoe UI" w:hAnsi="Segoe UI" w:eastAsia="Segoe UI"/>
            <w:sz w:val="32"/>
            <w:color w:val="000000"/>
            <w:b/>
          </w:rPr>
          <w:t>TKU Recognized for Hiring Disabled Employees</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TKU was recently named an “Outstanding Employer of Disabled Persons” by the New Taipei City government. An award ceremony, at which the TKU Dean of Human Resources will be presented with a prize, will be held on November 24. The Dean of Human Resources, Cheng Tung-wen, stated: “in the future, we’ll continue to hire employees with disabilities to serve as administrative staff, faculty, and general cleaning staff, and work to provide such staff with a disability-friendly work environment!” In recent years, the proportion of disabled employees at TKU has grown from 3.33% to the current level of 4.36%. The average duration of service for disabled employees at Tamkang is 14.75 years.
</w:t>
          <w:br/>
          <w:t>
</w:t>
          <w:br/>
          <w:t>Over the years, in order to better cater for disabled employees, TKU has actively applied for assistance with New Taipei City government institutions in providing disabled employees with leading edge facilities, such as zoom text software, automated reading software, and many others.</w:t>
          <w:br/>
        </w:r>
      </w:r>
    </w:p>
  </w:body>
</w:document>
</file>