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d8ec95012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101學年本校國科會專題研究計畫案申請率77%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根據研究發展處至2月13日止所統計之本校101學年國科會專題研究計畫案統計，97至101學年申請件數為485件、508件、551件、537件、574件。全校總申請件數在100學年時略減外，每年皆成長，而總申請率增加近6%。
</w:t>
          <w:br/>
          <w:t>  在各院方面，3年來工學院申請率皆在百分百之上，表示平均1位教師申請多件專題研究計畫案；在101學年度，工學院以107%居全校第二；理學院為108%，是全校之冠。與100學年相較，申請率提升的單位有：文學院、理學院、外語學院、國際研究學院、全球創業發展學院及體育處。
</w:t>
          <w:br/>
          <w:t>  對於年年提升的申請率，研發長康尚文表示，除了學校積極鼓勵教師們多提出計畫從事研究外，也因今年教師評鑑辦法改變，明確規定教師們，在研究方面要「執行研究發展處備案之專題研究計畫」或「至少有1篇學術成果或作品發表」，這也更鼓勵教師們積極投入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44368" cy="1773936"/>
              <wp:effectExtent l="0" t="0" r="0" b="0"/>
              <wp:docPr id="1" name="IMG_c31b32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4421cbb7-5175-422b-b5b1-7ea34b2e8a3c.jpg"/>
                      <pic:cNvPicPr/>
                    </pic:nvPicPr>
                    <pic:blipFill>
                      <a:blip xmlns:r="http://schemas.openxmlformats.org/officeDocument/2006/relationships" r:embed="Raeeba717cd97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4368" cy="1773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34896" cy="469392"/>
              <wp:effectExtent l="0" t="0" r="0" b="0"/>
              <wp:docPr id="1" name="IMG_bf3324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ff2ab98d-f845-4050-834c-b17b0dccd4f6.jpg"/>
                      <pic:cNvPicPr/>
                    </pic:nvPicPr>
                    <pic:blipFill>
                      <a:blip xmlns:r="http://schemas.openxmlformats.org/officeDocument/2006/relationships" r:embed="R5c1f93b6867e4b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4896" cy="469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eba717cd974fe4" /><Relationship Type="http://schemas.openxmlformats.org/officeDocument/2006/relationships/image" Target="/media/image2.bin" Id="R5c1f93b6867e4b88" /></Relationships>
</file>