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6816d34a6d4f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Baika Women’s University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February 24, a group of over 20 teachers and students form Baika Women’s University, Japan, visited the TKU Tamsui Campus. Their purpose: to learn more about Chinese culture and study Chinese calligraphy.
</w:t>
          <w:br/>
          <w:t>
</w:t>
          <w:br/>
          <w:t>They were received by the Associate Director of the TKU Carrie Chang Fine Arts Center, Dr. Chang Ben-hang, who is one of the leading calligraphy practitioners in Taiwan. Dr. Chang began the tour with a brief description of the techniques involved and the application of Chinese calligraphy, as well as the works of Taiwanese calligraphy artists of various age groups.
</w:t>
          <w:br/>
          <w:t>
</w:t>
          <w:br/>
          <w:t>During their visit, the guests not only had the chance to practice writing calligraphy themselves, but also got to view Dr. Chang write Chinese calligraphy first hand. One of the visiting students exclaimed: “It’s amazing being able to see Professor Chang write Chinese calligraphy in person!”
</w:t>
          <w:br/>
          <w:t>
</w:t>
          <w:br/>
          <w:t>Caption: Carrie Chang Fine Arts Center Associate Director, Dr. Zhang Ben-hang, demonstrates the beauty of traditional Chinese calligraphy.</w:t>
          <w:br/>
        </w:r>
      </w:r>
    </w:p>
  </w:body>
</w:document>
</file>