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ffab5be2e4a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節能減碳全員一起來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自98年起推廣低碳便當，在100年時將訂購量加入ISO14001環境目標，下半年較去年同期，銷售量成長37.6%，推行半年來成果顯著。總務處近期更以「新菜色」吸引師生持續做環保，並於上個月26日舉辦「低碳日式便當」試吃會。參與活動的衛保組營養師孫曉文表示，除了菜色多樣性外，衛保組與膳食督導社共同執行的檢查食材來源機制，像是肉類是否經過CAS認證，讓我們能在享用美味的餐點時，吃得更安心。（文／林俞兒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37232"/>
              <wp:effectExtent l="0" t="0" r="0" b="0"/>
              <wp:docPr id="1" name="IMG_7eaf60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98dd3727-e8c6-4c55-a0c3-e434939dc4d2.jpg"/>
                      <pic:cNvPicPr/>
                    </pic:nvPicPr>
                    <pic:blipFill>
                      <a:blip xmlns:r="http://schemas.openxmlformats.org/officeDocument/2006/relationships" r:embed="Reb3c317313f341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37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3c317313f3415c" /></Relationships>
</file>