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fbd2d9e8514c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Alumni Return for Department Reunions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March, as the sun comes out and the azaleas bloom, Tamkang alumni return to their alma mater to reunite and reconnect. This year, alumni spring festivities were organized by each department and not by the TKU Faculty Office, as was the case in previous years.
</w:t>
          <w:br/>
          <w:t>
</w:t>
          <w:br/>
          <w:t>The Chairs of the TKU departments of Chinese Literature and History, Dr. Yin Shan-pei and Dr. Lin Chen-jung respectively, explained that the shift to department-based hosting of alumni spring activities has made organization and planning much more convenient.
</w:t>
          <w:br/>
          <w:t>
</w:t>
          <w:br/>
          <w:t>Among the activities planned by the various departments were lunch banquets, tours of the Tamsui Campus and other local sites, as well as friendly sports competitions.</w:t>
          <w:br/>
        </w:r>
      </w:r>
    </w:p>
  </w:body>
</w:document>
</file>