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f89e7d86184c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Enhancing the Scope of English Tuition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counteract the effect of plummeting birth rates on student numbers, the ROC Ministry of Education has loosened regulations related to international students, allowing students from Mainland China and SE Asia to pursue their college studies in Taiwan. In response, TKU President, Dr. Flora Chia-I Chang, recently said that the English learning environment at Tamkang should be enhanced to accommodate such students.
</w:t>
          <w:br/>
          <w:t>
</w:t>
          <w:br/>
          <w:t>To this end, a special team responsible for strengthening the current system of English instruction at Tamkang has been put together, and will be headed by the Vice President for Academic Affairs, Dr. Gwo-Hsing Yu, and the Dean of Academic Affairs, Dr. Keh-huan Chao. On April 20, during the 124th TKU Administrative Conference, a briefing was made on the future plans for enhancing the English environment at Tamkang.
</w:t>
          <w:br/>
          <w:t>
</w:t>
          <w:br/>
          <w:t>Vice President Yu noted that, starting from the 2012 academic year, all TKU Departments (except for the departments that already offer English-instructed courses) will be required to offer at least two courses taught exclusively in English. “Exclusively in English” means courses in which English is used for classroom instruction, to administer exams (including all questions and answers on the exam paper), as well as in all homework and assignment activities.</w:t>
          <w:br/>
        </w:r>
      </w:r>
    </w:p>
  </w:body>
</w:document>
</file>