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90d9f668c34c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Interpreting Classical Chinese Literature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May 4 to 5, the TKU Department of Chinese Literature will hold the 14th Society and Culture International Academic Symposium. To be held at the Ching Sheng International Conference Hall, Tamsui Campus, the symposium will explore different interpretations of literary classics and will be attended by renowned scholars and experts from Mainland China, Japan, Singapore, and Spain.
</w:t>
          <w:br/>
          <w:t>
</w:t>
          <w:br/>
          <w:t>The organizer of the event, TKU Department of Chinese Literature assistant professor, Tseng Yu-fu, said that the symposium will consist of analysis of Chinese Classics, such as Lao Tzu, The Literary Mind and The Carving of the Dragon, and the Record of the Three Kingdoms. It will examine various versions of such classics with a view to critiquing the dominant themes and beliefs contained therein.
</w:t>
          <w:br/>
          <w:t>
</w:t>
          <w:br/>
          <w:t>Those interested in attending must register for the event by 5pm, May 1, by accessing the website http://enroll.tku.edu.tw/course.aspx?cid=tacx20120504.</w:t>
          <w:br/>
        </w:r>
      </w:r>
    </w:p>
  </w:body>
</w:document>
</file>