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ae4586cf424e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A Conference on the “China Effect” and the Future of “New Asia”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April 26 – 27, the TKU Graduate Institute of Future Studies held the International Conference on the “China Effect” and the Future of “New Asia”. The conference explored the rise of China as a major international presence and the impact this will have on Asia’s future, and featured distinguished overseas scholars, such as Joon Shik Park (the Dean of the Global Education Institute, Hallym University); professor SchoolCruz from the Philippines, and Professor Feng Xiaotian from China’s Nanjing University.
</w:t>
          <w:br/>
          <w:t>
</w:t>
          <w:br/>
          <w:t>It involved presentations of academic papers and a forum which aimed to provide participants with a better understanding of the effect of China’s metamorphosis on the greater Asian region.
</w:t>
          <w:br/>
          <w:t>
</w:t>
          <w:br/>
          <w:t>Master’s student, Lin Kai-jun, from the Graduate Institute of Future’s Studies, commented that by taking part in the event, he not only got to improve his English speaking ability and enhance his global outlook, but also gained a more in-depth insight into issues related to the one-child policy in Mainland China.</w:t>
          <w:br/>
        </w:r>
      </w:r>
    </w:p>
  </w:body>
</w:document>
</file>