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dc9b246c65941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542 期</w:t>
        </w:r>
      </w:r>
    </w:p>
    <w:p>
      <w:pPr>
        <w:jc w:val="center"/>
      </w:pPr>
      <w:r>
        <w:r>
          <w:rPr>
            <w:rFonts w:ascii="Segoe UI" w:hAnsi="Segoe UI" w:eastAsia="Segoe UI"/>
            <w:sz w:val="32"/>
            <w:color w:val="000000"/>
            <w:b/>
          </w:rPr>
          <w:t>NEWLY SET PRIORITY RESEARCH SUBSIDIES TO BE IMPLEMENTED NEXT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Newly-set priority research subsidies will be formally implemented next semester. The subsidies will center on TKU interschool priority research projects, the integral research project, outside Tamkang University large-scaled research project, and cooperation project with internationally renowned universities and research institutes. 
</w:t>
          <w:br/>
          <w:t>
</w:t>
          <w:br/>
          <w:t>Vice President for Academic Affairs Feng Chao-kang, convener of the ad hoc committee of priority departmental and institute subsidies, said that TKU has accomplished a lot of scholastic achievements since the priority department and institutes subsidies statute was published in 1995, which has greatly helped upgrade school reputation. The subsidies will be placed on priority research subsidies, Feng said, adding that the newly-set statute which was published on June 28 will be formally implemented next academic year. In addition, school authorities will gradually reduce two priority department subsidies from the 2003 academic year. The money saved will be transferred to priority research subsidies. 
</w:t>
          <w:br/>
          <w:t>
</w:t>
          <w:br/>
          <w:t>The new statute is aimed at encouraging academic development, strengthening research ability and integrating interschool research manpower and resources. Therefore, the subsidies will be given on interschool priority research project, integral research project, outside school large-scaled research projects and research cooperation projects with international renowned universities and institutes. 
</w:t>
          <w:br/>
          <w:t>
</w:t>
          <w:br/>
          <w:t>An ad hoc screening committee was set up with Dr. Feng Chao-kang chairing. Members include Deans of Academic Affairs, of Colleges, Director of Educational Development Center; Director of Office of Research and Development; and a representative from each college and Educational Development Center. The tenure will be a year and can be prolonged for another year if he elected. 
</w:t>
          <w:br/>
          <w:t>
</w:t>
          <w:br/>
          <w:t>The application for priority department and institute subsidies will be stopped from next academic year. The application for priority research subsidies will begin Nov. 1 and should submit to ad hoc screening committee by Nov. 31. The unit, which obtained subsidies should submit an executive report to ad hoc screening committee.</w:t>
          <w:br/>
        </w:r>
      </w:r>
    </w:p>
  </w:body>
</w:document>
</file>