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c6d5f2d5dfc44b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542 期</w:t>
        </w:r>
      </w:r>
    </w:p>
    <w:p>
      <w:pPr>
        <w:jc w:val="center"/>
      </w:pPr>
      <w:r>
        <w:r>
          <w:rPr>
            <w:rFonts w:ascii="Segoe UI" w:hAnsi="Segoe UI" w:eastAsia="Segoe UI"/>
            <w:sz w:val="32"/>
            <w:color w:val="000000"/>
            <w:b/>
          </w:rPr>
          <w:t>4 COURSES OF CORE CURRICULUM RENAMED; THE CONSTITUTION OF ROC DISAPPEARED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Four out of 12 core curriculum will be renamed and the remaining eight courses will increase or reduce teaching times from next semester. Of which, the Constitution of the Republic of China will be permanently disappeared. The appreciation of Chinese literature will include classical literature while natural science will increase the newest biology and nanotechnology. 
</w:t>
          <w:br/>
          <w:t>
</w:t>
          <w:br/>
          <w:t>To meet time tendency, several core curriculum have been renamed. Of which, the appreciation of Chinese literature will be renamed “the appreciation of Chinese literature and classical literature”. “The Constitution and the Spirit of the Republic of China” will be changed to “the constitution and living law” while “the natural science” being changed to “the nature and life science”. “The moral reasoning” will be changed to the “morality and religion”. 
</w:t>
          <w:br/>
          <w:t>
</w:t>
          <w:br/>
          <w:t>However, “the constitution and its founding spirit of the Republic of China’ will face a big ever change. According to Chen Ming-hsiang, Chair of Department of Public Administration, the “ROC Constitution and Current Trend of Thought” and the “ROC Constitution and Government”, which are mainly teaching constitution, will be eliminated from the curriculum. Seven courses—Constitution and Human Rights, Sexual Life and Law, Investment Management and Law, Information Life and Law, Technology and Law and crime and punishment in living will be added. 
</w:t>
          <w:br/>
          <w:t>
</w:t>
          <w:br/>
          <w:t>Besides, Moral Reasoning will be renamed “Morality and Religion”. 
</w:t>
          <w:br/>
          <w:t>
</w:t>
          <w:br/>
          <w:t>Tsui Cheng-tsung, Chair of Department of Chinese, said that the appreciation of Chinese modern and classical literature will further help students enlarge their research scope and cultivate their independent thought. 
</w:t>
          <w:br/>
          <w:t>
</w:t>
          <w:br/>
          <w:t>Chen Kan-nan, Dean of College of Sciences, who is in charge of “Natural Science” said that more scholars and experts on life science and nanotechnology will be invited to the course. 
</w:t>
          <w:br/>
          <w:t>
</w:t>
          <w:br/>
          <w:t>Vice President for Academic Affairs Dr. Feng Chao-kang convened a meeting of General and Core Curriculum Educational Committee on May 23 to review the implementation of general and core curriculum courses. Feng reminded that some teachers showing film at class should consider its by effect.</w:t>
          <w:br/>
        </w:r>
      </w:r>
    </w:p>
  </w:body>
</w:document>
</file>