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434c97b9ec4496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863 期</w:t>
        </w:r>
      </w:r>
    </w:p>
    <w:p>
      <w:pPr>
        <w:jc w:val="center"/>
      </w:pPr>
      <w:r>
        <w:r>
          <w:rPr>
            <w:rFonts w:ascii="Segoe UI" w:hAnsi="Segoe UI" w:eastAsia="Segoe UI"/>
            <w:sz w:val="32"/>
            <w:color w:val="000000"/>
            <w:b/>
          </w:rPr>
          <w:t>New Machinery to Promote Physics Research</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The TKU Department of Physics recently received a considerable research grant under an initiative for private universities offered by the ROC National Science Council. To make the most effective use of the funds, the Department acquired two very specialized and advanced machines. The machines are used to measure phenomena known as cathode luminescence (CL) and electron energy loss spectroscopy (EELS), and will be kept in a soon-to-be-established center known as the “TKU Center for Heavy Machinery”; the first of its kind among private universities in Taiwan.
</w:t>
          <w:br/>
          <w:t>
</w:t>
          <w:br/>
          <w:t>To discuss how best to utilize the new machines, a symposium will be held on June 8 which will be attended by scholars from Germany, America, and Academia Sinica in Taiwan.</w:t>
          <w:br/>
        </w:r>
      </w:r>
    </w:p>
  </w:body>
</w:document>
</file>