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060f9f392b246a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541 期</w:t>
        </w:r>
      </w:r>
    </w:p>
    <w:p>
      <w:pPr>
        <w:jc w:val="center"/>
      </w:pPr>
      <w:r>
        <w:r>
          <w:rPr>
            <w:rFonts w:ascii="Segoe UI" w:hAnsi="Segoe UI" w:eastAsia="Segoe UI"/>
            <w:sz w:val="32"/>
            <w:color w:val="000000"/>
            <w:b/>
          </w:rPr>
          <w:t>TKU TO EARMARK OVER NT$20 MILLION BUDGET TO BUY NMR</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College of Sciences, after obtaining the approval of President Chang Horng-jinh, planned to purchase a nuclear magnet resonance (NMR) to upgrade the teachers’ research effects. The instrument would cost between NT$23 million and NT$26 million. It will be placed at the new “Instrument and Experiment Center”. 
</w:t>
          <w:br/>
          <w:t>
</w:t>
          <w:br/>
          <w:t>What is NMR? Lee Shih-yuan, Chair of Department of Chemistry, said:“NMR is able to analyze the 3-D structure of molecule. It is the most important analyzing tool for research on solid physics, chemistry, medicine and biotechnology. With the application of NMR, the research space will be further enlarged, especially for Department of Chemistry and the new Graduate Institute of Life Science. The agreement to purchase NMR is good news for teachers of Colleges of Sciences and Engineering who are engaged in such kind of research work.</w:t>
          <w:br/>
        </w:r>
      </w:r>
    </w:p>
  </w:body>
</w:document>
</file>