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ede845700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國科會計畫案 通過率增4.6%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依據研發處研究組統計，本校教師101學年度國科會專題研究計畫案，截至10月9日止，申請件數560件，核定通過件數282件，通過率50.4%。與去年相較申請率略降，但通過率增加4.6%，其中，工學院的申請率超過百分百，為通過件數最多。
</w:t>
          <w:br/>
          <w:t>研發長康尚文表示：「不擔心申請率下降，通過率的提升表示本校的研究計畫在質與量方面是有成長的。」康尚文指出，從國科會的統計資料中顯示，100年和101年的全國私校通過率分別為47.3%與48.3%，而本校的通過率為53.3%及57.9%，高於私校通過研究案的數據。而為鼓勵教師多申請研究計畫，及協助專任助理教授提升申請國科會計畫書品質，「研發處提供任何申請國科會專題研究計畫案的相關協助，如自100學年度起依據『重點研究計畫經費補助原則』，專任助理教授可於申請前提出預審，由資深教師提供意見以提升通過的機會，歡迎多加利用。」
</w:t>
          <w:br/>
          <w:t>而各學院的通過率方面：通過率第一的是理學院66.7%，管理學院52.9%位居第二，第三則是工學院的52.8%；與100學年相較，文學院、工學院、商學院、管理學院、外語學院、教育學院和全創院皆有提升，其中全創院進步最多，提升19.1%。康尚文說明，本校商管學院於101學年度合併，本次統計資料的申請時尚未通過，故今年的資料仍是以商學院及管理學院分開計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2e750f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29e82274-ef33-414a-bfe7-95cab4b5fe8c.jpg"/>
                      <pic:cNvPicPr/>
                    </pic:nvPicPr>
                    <pic:blipFill>
                      <a:blip xmlns:r="http://schemas.openxmlformats.org/officeDocument/2006/relationships" r:embed="Re4f69877108d48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f69877108d48c9" /></Relationships>
</file>