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0d5e67248243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881 期</w:t>
        </w:r>
      </w:r>
    </w:p>
    <w:p>
      <w:pPr>
        <w:jc w:val="center"/>
      </w:pPr>
      <w:r>
        <w:r>
          <w:rPr>
            <w:rFonts w:ascii="Segoe UI" w:hAnsi="Segoe UI" w:eastAsia="Segoe UI"/>
            <w:sz w:val="32"/>
            <w:color w:val="000000"/>
            <w:b/>
          </w:rPr>
          <w:t>Subsidies for Published Papers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Office of Human Resources recently released the list of faculty members who will receive financial subsidies for having their work published in the following major international journals: A&amp;HCI, SSCI, SCI, EI, THCI Core, and TSSCI.
</w:t>
          <w:br/>
          <w:t>
</w:t>
          <w:br/>
          <w:t>In total, 258 TKU teachers have had 498 papers published and will receive a total subsidy of NT $27 million. Compared to the previous academic year, this represents an increase of 38 teachers and 71 published papers.
</w:t>
          <w:br/>
          <w:t>The college with the largest number of published scholars was the TKU College of Business and Management, with a total of 93. This was followed by the College of Engineering (85), the College of Science (41), the College of Education (10), the College of Foreign Languages and Literatures (9), the College of Global Entrepreneurial Development (8), and the College of International Studies (4).</w:t>
          <w:br/>
        </w:r>
      </w:r>
    </w:p>
  </w:body>
</w:document>
</file>