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77133728804b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Ranking of World Universities – TKU Remains No.1</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Webometrics has released the results of its most recent (January 2013) evaluation of world universities. In this evaluation, TKU again sealed first spot among Taiwanese private universities. In two of the assessed criteria, “Presence” (Web presence) and “Openness”, TKU’s ranking displayed marked growth, going from 676 to 254 (openness) and 48 to 40 (presence). Overall, TKU placed 445th in the world; 72nd in Asia; 10th in Taiwan, and 1st among local private universities. 
</w:t>
          <w:br/>
          <w:t>“Openness” is adjudged by the ease in which a university’s published research files could be found in Google Scholar from 2008 to 2012. TKU’s marked improvement in this area is testimony to its implementation of more effective procedures in producing scholarly publications.
</w:t>
          <w:br/>
          <w:t>Although Tamkang’s ranking rose in terms of “Openness” and “Presence”, it dropped slightly in the two other key indicators of “Impact” and “Excellence”. “Impact” accounts for 50% of the overall ranking. It assesses both the quantity and, more importantly, the quality of incoming links to the university’s website(s).</w:t>
          <w:br/>
        </w:r>
      </w:r>
    </w:p>
    <w:p>
      <w:pPr>
        <w:jc w:val="center"/>
      </w:pPr>
      <w:r>
        <w:r>
          <w:drawing>
            <wp:inline xmlns:wp14="http://schemas.microsoft.com/office/word/2010/wordprocessingDrawing" xmlns:wp="http://schemas.openxmlformats.org/drawingml/2006/wordprocessingDrawing" distT="0" distB="0" distL="0" distR="0" wp14:editId="50D07946">
              <wp:extent cx="2151888" cy="1261872"/>
              <wp:effectExtent l="0" t="0" r="0" b="0"/>
              <wp:docPr id="1" name="IMG_e956e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658ccee8-6a2c-4be8-b829-548f08884833.jpg"/>
                      <pic:cNvPicPr/>
                    </pic:nvPicPr>
                    <pic:blipFill>
                      <a:blip xmlns:r="http://schemas.openxmlformats.org/officeDocument/2006/relationships" r:embed="R4130226e6bad4382" cstate="print">
                        <a:extLst>
                          <a:ext uri="{28A0092B-C50C-407E-A947-70E740481C1C}"/>
                        </a:extLst>
                      </a:blip>
                      <a:stretch>
                        <a:fillRect/>
                      </a:stretch>
                    </pic:blipFill>
                    <pic:spPr>
                      <a:xfrm>
                        <a:off x="0" y="0"/>
                        <a:ext cx="2151888"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30226e6bad4382" /></Relationships>
</file>