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ebaeeb380f4c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The TKU Future Cross-Strait Affairs Camp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January 21 – 23, the TKU Center for Advanced Technology held the Future Cross-Strait Affairs Camp. This year, participant numbers grew to a total of 40, which included local university students, 7 Mainland Chinese students, and professionals hoping to gain more Cross-Strait knowledge.
</w:t>
          <w:br/>
          <w:t>The camp engaged the learners in a ‘hypothetical strategy challenge’ that focused on Cross-Strait politics and international relations. It also featured an economic and trade component, in which participants vied for first place in the camp’s first ever computer-simulated business contest. The contest taught students about the policy process governments go through during crises, which in turn provided insights into the problems and challenges that will come with future Cross-Strait development.
</w:t>
          <w:br/>
          <w:t>The parameters and focus of the camp mirrored Tamkang’s Triple Objectives of Education, said Su Tzi-yun, the Executive Director of the Center for Advanced Technology. He explained: “Future-oriented education can be seen in the insights students receive on future Cross-Strait development; information-oriented education can be seen in the computerized format of the business contest activity; and globalization can be seen in the way the camp teaches participants to view Cross-Strait relations from a global perspective.”</w:t>
          <w:br/>
        </w:r>
      </w:r>
    </w:p>
  </w:body>
</w:document>
</file>