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4bfcf6f3844f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CFLL AND TK TIMES JOINTLY OFFER &amp;quot;ENGLISH COLUMN&amp;quot;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make English more accessible to students, the College of Foreign Languages and Literature will cooperate with Tamkang Times (TK Times) to set up an English Special Column on the second page, starting from this week. 
</w:t>
          <w:br/>
          <w:t>
</w:t>
          <w:br/>
          <w:t>The column, designed and planned by CFLL’s faculty members, will publish an 800-word article weekly. They will rewrite or choose some interesting articles and annotate in details on common-used vocabulary. The article will be also explained in Chinese, hoping that students will improve their language ability gradually, learning English by reading the column.  
</w:t>
          <w:br/>
          <w:t>
</w:t>
          <w:br/>
          <w:t>Lin Yao-fu, Dean of the College of Foreign Languages and Literature (OCLL), said that the result of language learning could not be accomplished overnight. It depends on a series of accumulative efforts, Lin said, adding that the environment and the enthusiasm both are very important. He hoped that students will learn English from everyday life and gradually make a difference.</w:t>
          <w:br/>
        </w:r>
      </w:r>
    </w:p>
  </w:body>
</w:document>
</file>