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c79a0ce8eb44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The Final Phase of the Environmental Education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After passing the preliminary assessment by the Environmental Protection Administration, TKU was recently announced as one of the finalists in the First National Environmental Education Awards, along with six other competing schools. Out of the six, TKU is the only university.
</w:t>
          <w:br/>
          <w:t>The Director of the TKU Center for Environmental Protection, Safety, and Health, Dr. Luo Shiaw Shyan, said he felt proud that TKU – which is representing the entire New Taipei City region – made it to the final stage of evaluation. He referred to TKU’s slogan of “Education through Life”, explaining that, thanks to this catch phrase and its underlying notion of practical education, TKU has been able to incorporate education on environmental protection into the lives of faculty, staff, and students. 
</w:t>
          <w:br/>
          <w:t>It achieves this through promoting the use of “low-carbon” rice boxes, installing intelligent electricity saving water heating systems in the campus dorms, and through a vast range of other initiatives. “We’ve been able to achieve these results due to the collective efforts of all TKU faculty, students, and staff”, said Luo.</w:t>
          <w:br/>
        </w:r>
      </w:r>
    </w:p>
  </w:body>
</w:document>
</file>