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6fb8d5691e47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894 期</w:t>
        </w:r>
      </w:r>
    </w:p>
    <w:p>
      <w:pPr>
        <w:jc w:val="center"/>
      </w:pPr>
      <w:r>
        <w:r>
          <w:rPr>
            <w:rFonts w:ascii="Segoe UI" w:hAnsi="Segoe UI" w:eastAsia="Segoe UI"/>
            <w:sz w:val="32"/>
            <w:color w:val="000000"/>
            <w:b/>
          </w:rPr>
          <w:t>Former Vice President Delivers a Lecture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Graduate Institute of China Studies recently invited the former Vice President of Taiwan, Mr. Vincent C. Siew, to come to Tamkang and deliver a special lecture on current Cross-Strait relations. The topic of the lecture was "The Boao Forum for Asia and Cross-Strait Economic and Trade Relations", which explored the development of the Mainland Chinese and Taiwanese economic and trade relationship in recent years. The speech attracted over 120 teachers, staff, and students, including the TKU Vice President for International Affairs, Dr. Wan-Chin Tai.</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afdfd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4/m\8b1e0082-8f43-41d4-b163-a3db3bef95d4.jpg"/>
                      <pic:cNvPicPr/>
                    </pic:nvPicPr>
                    <pic:blipFill>
                      <a:blip xmlns:r="http://schemas.openxmlformats.org/officeDocument/2006/relationships" r:embed="R80c76cc7602445d6"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0c76cc7602445d6" /></Relationships>
</file>