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ffba4b4a7f84ad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897 期</w:t>
        </w:r>
      </w:r>
    </w:p>
    <w:p>
      <w:pPr>
        <w:jc w:val="center"/>
      </w:pPr>
      <w:r>
        <w:r>
          <w:rPr>
            <w:rFonts w:ascii="Segoe UI" w:hAnsi="Segoe UI" w:eastAsia="Segoe UI"/>
            <w:sz w:val="32"/>
            <w:color w:val="000000"/>
            <w:b/>
          </w:rPr>
          <w:t>Warnings Issued for Failing Grades Decline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number of mid-term warnings issued to students on the verge of expulsion due to failing grades decreased by 424 in the second semester of the 2012-2013 academic year, to a total of 4043. The rate of issue of such “grade warnings” thus declined, from 18.79% to 17.73%.
</w:t>
          <w:br/>
          <w:t>The “Grade Warning” system employed by TKU is Tamkang’s way of providing care and counseling to students who are failing to reach learning requirements. In this vein, TKU offers students private counseling and a mentoring system in which teachers help to guide students in their studies. Through these initiatives, TKU seeks to identify obstacles to student learning and help students reach optional efficiency.</w:t>
          <w:br/>
        </w:r>
      </w:r>
    </w:p>
  </w:body>
</w:document>
</file>