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6b1ca2b43946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898 期</w:t>
        </w:r>
      </w:r>
    </w:p>
    <w:p>
      <w:pPr>
        <w:jc w:val="center"/>
      </w:pPr>
      <w:r>
        <w:r>
          <w:rPr>
            <w:rFonts w:ascii="Segoe UI" w:hAnsi="Segoe UI" w:eastAsia="Segoe UI"/>
            <w:sz w:val="32"/>
            <w:color w:val="000000"/>
            <w:b/>
          </w:rPr>
          <w:t>New Programs and Initiatives to Drive Industry Cooperation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TKU consistently designs new credit programs each academic year based on the unique characteristics of each of its colleges and the demands and trends in the contemporary business environment. In the 2012 academic year TKU implemented 38 new credit programs, and this year (2013 academic year) is has continued to cater for students by offering an extra five new credit programs. 
</w:t>
          <w:br/>
          <w:t>These include the following: Teaching Mandarin as a Foreign Language (offered by the College of Foreign Languages and Literatures), English Instruction and Digital Learning (offered jointly by the Department of English and the Department of Educational Technology), Intelligent Robots (College of Engineering), International Marketing and Trade – Practical English-taught Program (College of Business and Management), and Digital Learning and Information Management (offered jointly by the College of Education and the College of Business and Management).</w:t>
          <w:br/>
        </w:r>
      </w:r>
    </w:p>
  </w:body>
</w:document>
</file>