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e0c4c560946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少子化衝擊 葛煥昭提5大因應策略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11日招生委員會中，教務長葛煥昭進行專題報告，提到民國105年招生來源將減少5.5萬人，不會對本校招生有直接影響，但間接影響無可避免；到了民國112年第二波少子化衝擊，可能會有招生缺額現象，因此提出5大因應策略，以提供各系所與執行單位參考，同時須注意未來宣傳新意，期以吸引更多新生選擇就讀本校。
</w:t>
          <w:br/>
          <w:t>　其中，葛煥昭針對招生缺額提出5大項因應策略：第一、提升本校學術、教學聲望與學系特色；第二、縮短學用落差，提升學生就業競爭力，包含進行課程改革、與企業聯盟，加強產學合作與接軌；第三、擴展多元生源，擴大招收境外學生、拓展終身學習教育；第四、確保現有招生名額，各班由人數由60人減為50人；視情況3班學系減為2班，而1班學系也可增為2班，或成立新學系及學位學程，如長期照護、護理等；第五、積極創新招生宣傳。</w:t>
          <w:br/>
        </w:r>
      </w:r>
    </w:p>
  </w:body>
</w:document>
</file>