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edbc72589d4f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513 期</w:t>
        </w:r>
      </w:r>
    </w:p>
    <w:p>
      <w:pPr>
        <w:jc w:val="center"/>
      </w:pPr>
      <w:r>
        <w:r>
          <w:rPr>
            <w:rFonts w:ascii="Segoe UI" w:hAnsi="Segoe UI" w:eastAsia="Segoe UI"/>
            <w:sz w:val="32"/>
            <w:color w:val="000000"/>
            <w:b/>
          </w:rPr>
          <w:t>PERCENTAGE OF REGISTERING ON GRADUATE INSTITUTES FOR BOTH MASTER AND DOCTORATE PROGRAMS SETS RECORD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percentage of registering on Graduate Institutes for both master and doctorate programs in this 2002 academic year is higher than that set in the last academic year, according to the statistics available by the Office of Academic Affairs.  
</w:t>
          <w:br/>
          <w:t>
</w:t>
          <w:br/>
          <w:t>In particular, the registering percentage of the 14 graduate institutes for master degree on-the-job training program averaged 99.7 percent. Among the 14, 13 Graduate Institutes for such programs reached 100 percent only Graduate Institute of Electrical Engineering reached 95 percent. .  
</w:t>
          <w:br/>
          <w:t>
</w:t>
          <w:br/>
          <w:t>The same statistics showed that the registering percentage for doctorate programs achieved 90 percent.  
</w:t>
          <w:br/>
          <w:t>
</w:t>
          <w:br/>
          <w:t>The registering percentage for the regular master programs reached 89.57 percent, or 13.74 percent higher than 75.83 percent set in the last academic year.  
</w:t>
          <w:br/>
          <w:t>
</w:t>
          <w:br/>
          <w:t>Among the 20 graduate institutes, the registering rate of 13 institutes on the doctorate program reached 100 percent.  
</w:t>
          <w:br/>
          <w:t>
</w:t>
          <w:br/>
          <w:t>Meanwhile, eight departments and divisions recorded a percentage of none registering. They included Division A and C on-the-job training program of Graduate Institute of Water Resources and Environmental Engineering, Division B of Department of Mechanical Engineering, Division A of the Department of Chemical Engineering, Division A of Department of Transportation Management and Graduate Institute of Russian.  
</w:t>
          <w:br/>
          <w:t>
</w:t>
          <w:br/>
          <w:t>However, the registering percentage of the newly inaugurated on-the-job training program of Graduate Institutes of Education and Psychology, Futures Studies, French, and International Business achieved 100 percent.</w:t>
          <w:br/>
        </w:r>
      </w:r>
    </w:p>
  </w:body>
</w:document>
</file>