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fd09adfb1db434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919 期</w:t>
        </w:r>
      </w:r>
    </w:p>
    <w:p>
      <w:pPr>
        <w:jc w:val="center"/>
      </w:pPr>
      <w:r>
        <w:r>
          <w:rPr>
            <w:rFonts w:ascii="Segoe UI" w:hAnsi="Segoe UI" w:eastAsia="Segoe UI"/>
            <w:sz w:val="32"/>
            <w:color w:val="000000"/>
            <w:b/>
          </w:rPr>
          <w:t>Registration for the Honors Program</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Qiao-ting Zhao, Tamkang Times】In order to encourage the students with grades in the top ten percentile, strengthen the university, and increase career competitiveness, Tamkang University has designed the “Honors Program.” Chief of the Office of Academic Affairs, Hsiu-huang Su Hsu, would like to remind students that are in the Honors Program that when class registration time comes, they are to go to the class registration website in the section of Customized Profession Curriculum and fill out the online-form to select courses. Hsiu-huang Su Hsu also explained the process for new students interested in the Honors Program, “When the time comes to register for classes, fill out the Honors Program application form and the Honors Program student class schedule.” The Honors Program website is at  (http://honor.tku.edu.tw/)</w:t>
          <w:br/>
        </w:r>
      </w:r>
    </w:p>
  </w:body>
</w:document>
</file>