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f38f5d4cb543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TKU Receives Work Study Program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Wen-yuan Zheng, Tamkang Times】Tamkang University has received an award from the Ministry of Education for the implementation of the “Work Study Program.” On February 27th Dean of the Office of Human Resources, Tung-wen Chung, accepted the award on behalf of TKU as he expressed, “Our university was able to quickly implement this policy that encourages employees to advance their educational level because of the similarities that it carries with our current policies. One of the most identifying characteristics of TKU is the active encouragement of the staff and faculty to continue learning and improving. It’s great to be able to receive this award, but the development and improvement of the university is the greatest reward we could ask for.” 
</w:t>
          <w:br/>
          <w:t>The Ministry of Education promoted this activity so that employees in different organizations could use their vacation time to improve and develop more professional skills. In 2013 TKU entered for the first time and was honored with the “Stunning Performance Award.” The promotion of the Work Study Program also includes accredited student group study. It’s estimated that about 4,705 people participated in this program in the year 2012. The study program for administration is divided into level one and level two, giving administrators professional knowledge that directly enhances their ability to create various curriculums. There were 1,423 administrators that participated in 2012 and took courses that added up to 4,269 hours.</w:t>
          <w:br/>
        </w:r>
      </w:r>
    </w:p>
    <w:p>
      <w:pPr>
        <w:jc w:val="center"/>
      </w:pPr>
      <w:r>
        <w:r>
          <w:drawing>
            <wp:inline xmlns:wp14="http://schemas.microsoft.com/office/word/2010/wordprocessingDrawing" xmlns:wp="http://schemas.openxmlformats.org/drawingml/2006/wordprocessingDrawing" distT="0" distB="0" distL="0" distR="0" wp14:editId="50D07946">
              <wp:extent cx="4876800" cy="3297936"/>
              <wp:effectExtent l="0" t="0" r="0" b="0"/>
              <wp:docPr id="1" name="IMG_0040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447694de-454c-45ea-b1b1-96faff7fc8c9.jpg"/>
                      <pic:cNvPicPr/>
                    </pic:nvPicPr>
                    <pic:blipFill>
                      <a:blip xmlns:r="http://schemas.openxmlformats.org/officeDocument/2006/relationships" r:embed="R137957514caf498e" cstate="print">
                        <a:extLst>
                          <a:ext uri="{28A0092B-C50C-407E-A947-70E740481C1C}"/>
                        </a:extLst>
                      </a:blip>
                      <a:stretch>
                        <a:fillRect/>
                      </a:stretch>
                    </pic:blipFill>
                    <pic:spPr>
                      <a:xfrm>
                        <a:off x="0" y="0"/>
                        <a:ext cx="4876800" cy="3297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7957514caf498e" /></Relationships>
</file>