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4b5a321dd748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27 Student Organizations Hold Major Study Session</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Jing-ya Su, Tamkang Times】Students are holding the “Student Group Study Assembly” with 27 different student groups registered. Executive Director of the Student Activity Center, Chia-cheng Yu stated, “What the students have organized on their own certainly deserves praise. They have pulled this whole thing together by themselves to improve their grades.”
</w:t>
          <w:br/>
          <w:t>The theme is focused on professionally related or scientific areas of study. The students will be improving their understanding through working together to cultivate the basics of the university’s core curriculum and also areas of personal interest. Chia-cheng Yu expressed, “I recommend in the future students involve more departments. That way they will be able to learn more information through a variety of student interaction. 
</w:t>
          <w:br/>
          <w:t>One of the groups studying Chinese history and tradition began the study session by bowing to a picture of Confucius. Fourth-year Chinese student and group representative, Zhe-xu Chen stated, “Classical history is related to our modern day life!” Guidance professor and Vice President of Administration, Po-yuan Kao, gave suggestions and tips that he experienced while seeing our sister universities interact. The students welcomed the useful advice as they continued their diligent studies. All of the students shared invaluable information as they prepared for their course requirements. Every conversation taking place became a possible building block for the future of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2584704"/>
              <wp:effectExtent l="0" t="0" r="0" b="0"/>
              <wp:docPr id="1" name="IMG_0a744a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e2236303-053d-457d-8827-d0e3829bd7fd.jpg"/>
                      <pic:cNvPicPr/>
                    </pic:nvPicPr>
                    <pic:blipFill>
                      <a:blip xmlns:r="http://schemas.openxmlformats.org/officeDocument/2006/relationships" r:embed="R53c5abb35cfe4e64" cstate="print">
                        <a:extLst>
                          <a:ext uri="{28A0092B-C50C-407E-A947-70E740481C1C}"/>
                        </a:extLst>
                      </a:blip>
                      <a:stretch>
                        <a:fillRect/>
                      </a:stretch>
                    </pic:blipFill>
                    <pic:spPr>
                      <a:xfrm>
                        <a:off x="0" y="0"/>
                        <a:ext cx="4876800" cy="2584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c5abb35cfe4e64" /></Relationships>
</file>