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c4bcb850ca849e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507 期</w:t>
        </w:r>
      </w:r>
    </w:p>
    <w:p>
      <w:pPr>
        <w:jc w:val="center"/>
      </w:pPr>
      <w:r>
        <w:r>
          <w:rPr>
            <w:rFonts w:ascii="Segoe UI" w:hAnsi="Segoe UI" w:eastAsia="Segoe UI"/>
            <w:sz w:val="32"/>
            <w:color w:val="000000"/>
            <w:b/>
          </w:rPr>
          <w:t>TKU Was Ranked Very High in MOE’s Survey of 2001 Private Universities’ Medium-Range Plan’s Execut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survey conducted by Ministry of Education on 2001 Private Universities’ Medium- Range Plan’s Executing Status has recently released their results (June 10).  Of all the listed 6 categories, TKU has landed on the 1st half, but only short of the 2nd half to make a sweeping victory. 
</w:t>
          <w:br/>
          <w:t>
</w:t>
          <w:br/>
          <w:t>These 6 categories are: Planning &amp;amp; Execution, Teaching &amp;amp; Counseling, Extension  Services, Research, Administrative Operation and Accounting &amp;amp; Administration. 
</w:t>
          <w:br/>
          <w:t>
</w:t>
          <w:br/>
          <w:t>To transcribe TKU’s honor into financial terms, it is more than NT$243,000,000.  The grant given to TKU shows that she is number one in terms of the total number of the 35 private universities that took part in this survey. 
</w:t>
          <w:br/>
          <w:t>
</w:t>
          <w:br/>
          <w:t>According to the 135th issue of Higher Education, a news bulletin released by MOE, the outcome of the 200l Medium Range Plan’s Executing Status Report for Private Universities shows there are 35 institutions that have received financial support from MOE, totaling NT$4,600,000,000, in all.  Their scrutiny had been focused upon the executing status quo, plus their field trip to the school under inspection to determine the order of precedence.  The distribution, therefore, is partly subject to the efficacy shown by the school, and partly to the number of student population; in other words, by the size of the school.  As a rule, TKU has always been selected as champion in each year’s dispensation.  But this year, as she is no longer the most populous university around, how come she is still yielded the most handsome appropriation.  This cold fact bespeaks an underwritten truth: that TKU is intrinsically a very good school! 
</w:t>
          <w:br/>
          <w:t>
</w:t>
          <w:br/>
          <w:t>But there is still one man who is not totally happy with the result.  The man is our Pres. Chang Horng-jinh.  As can be expected, he is hoping that as TKU is lagging behind in the 2nd half of the category, she must make up that deficiency, so that she will catch up and be a sweeping winner for the 6 categories next year.</w:t>
          <w:br/>
        </w:r>
      </w:r>
    </w:p>
  </w:body>
</w:document>
</file>