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97b21b0cb74a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Many TKU Students Will Set Their Foot on Foreign Soil to Engage in Cultural Trips as well as Academi</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When sweltering summer arrives, many TKU faculties as well as students will organize teams to go to foreign countries to engage in academic exchange with the higher education institutions there.  As Tamkang Times has learned, this summer College of International Studies would dispatch their Institutes of European Studies, Southeast Asian Studies and American Studies students to embark upon a variety of scholarly journeys. 
</w:t>
          <w:br/>
          <w:t>
</w:t>
          <w:br/>
          <w:t>For instance, under the aegis of College of International Studies, Prof. Kung Kuo-wei, Director, Latin American Studies, will lead a 9-member team to visit Mexico and Costa Rica to hold seminars and exchange views with the local universities there.  A team consisting of 45 Graduate1, Graduate 2 and In-Service graduate students from China Studies will be led by their Director, Prof. Chang Wu-yen to set forth to China, where their destination is Beijing University.  As we’ve learned from Miss Hsieh Yi-chin, a participating member, they are setting up their aim very high, because they intend to gather as much research data as possible along the way, and the last thing they can afford is to waste their precious time on sight-seeing. 
</w:t>
          <w:br/>
          <w:t>
</w:t>
          <w:br/>
          <w:t>On the other hand, we see students from Graduate Institutes of Southeast Asian and European Studies are no less enthusiastic in pursuing their academic goals and pinning their hopes on the upcoming trips to their respective destinations.  For instance, we hear Tsu Pei-der say that he is planning to stay in Indonesia for more than a month and finish his field trip there until his mission is accomplished.</w:t>
          <w:br/>
        </w:r>
      </w:r>
    </w:p>
  </w:body>
</w:document>
</file>