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5dabf5e02a49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Students Can Opt to Drop Classes Even After Midterms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Zhi-jun Liu, Tamkang Times】This semester there are new modifications to the selection process of the university courses. Dean of  the Office of Academic Affairs, Hsiu-Huang Su Hsu, stated, “This new program gives the students more freedom to manage classes even after they take their midterms. Now they have the option to drop a course that they are having difficulty in, instead of receiving a failing grade. Students can freely drop the course at anytime before reaching the designated time limit of 13 weeks, but it is limited to only two courses a semester.” Hsiu-Huang Su Hsu emphasized that students in every grade will have this option, but they should pay attention to the courses they are selecting to see if there are any exceptions. Otherwise the classes can be dropped all the up until the 13th week of class.</w:t>
          <w:br/>
        </w:r>
      </w:r>
    </w:p>
  </w:body>
</w:document>
</file>