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68edb5fc2e40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The International Gender and Technology Summit Take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Yu-pin Lin, Tamkang Times】The National Technology Gender Equality Committee held the Gender and Technology Summit in Chueh-sheng International Conference Hall on the 17th. Professors from the University of Stanford, Londa Schielbinger and San Francisco State University, Sue V. Rosser, were invited to give lectures. Before the lecture began, President Flora Chia-I Chang gave a speech and introduction to the assembly. She also mentioned that the ratio for men to women faculty is 3:1 and that the ratio for men to women professors is 10:1 pointing out that Tamkang University still has room for improvement. 
</w:t>
          <w:br/>
          <w:t>Londa Schiebinger mentioned that the policies and technological research can not be overlooked in terms of gender equality. She also stated that it is important to be innovative when researching and analyzing gender related information. She mentioned that it is crucial to access the data from multiple angles in order to get the most accurate calculations, giving us the ability to move forward in the field of research.
</w:t>
          <w:br/>
          <w:t>Sue V. Rosser mentioned that the academic achievements of women are obviously much higher, but it is not reflected in the career fields of science and business. Women applying for these types of jobs are often discriminated against not only limiting the progress of women, but of science and business itself. Professor of the Department of Mechanical and Electro-Mechanical Engineering, Peter Liu, stated, “Discussing these gender issues are directly related to problems we have in the field of research and today has served as a great reminder of the role women must play.”</w:t>
          <w:br/>
        </w:r>
      </w:r>
    </w:p>
    <w:p>
      <w:pPr>
        <w:jc w:val="center"/>
      </w:pPr>
      <w:r>
        <w:r>
          <w:drawing>
            <wp:inline xmlns:wp14="http://schemas.microsoft.com/office/word/2010/wordprocessingDrawing" xmlns:wp="http://schemas.openxmlformats.org/drawingml/2006/wordprocessingDrawing" distT="0" distB="0" distL="0" distR="0" wp14:editId="50D07946">
              <wp:extent cx="4053840" cy="2798064"/>
              <wp:effectExtent l="0" t="0" r="0" b="0"/>
              <wp:docPr id="1" name="IMG_1f9e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aaa172d2-cfe0-4b4e-950a-86b7ce126c9e.jpg"/>
                      <pic:cNvPicPr/>
                    </pic:nvPicPr>
                    <pic:blipFill>
                      <a:blip xmlns:r="http://schemas.openxmlformats.org/officeDocument/2006/relationships" r:embed="R1f8a9ce8576d4119" cstate="print">
                        <a:extLst>
                          <a:ext uri="{28A0092B-C50C-407E-A947-70E740481C1C}"/>
                        </a:extLst>
                      </a:blip>
                      <a:stretch>
                        <a:fillRect/>
                      </a:stretch>
                    </pic:blipFill>
                    <pic:spPr>
                      <a:xfrm>
                        <a:off x="0" y="0"/>
                        <a:ext cx="4053840" cy="2798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8a9ce8576d4119" /></Relationships>
</file>