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eb042e4a554d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TKU University is the Only Junior College To Receive Friendly Campus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Jing-zhuang, Tamkang Times】On the 9th, the Ministry of Education Awarded TKU as the only Junior College to receive the “Friendly Campus Award.” Also Specialist from the Office of Academic Affairs, Ruey-er Chen, received an award for Outstanding Academic Personnel. These two awards were presented at the same time and acted as a promotion for the both the academic and guidance office. Also in attendance was President Flora Chia-I Chang, Dean of Academic Affairs, Chih-en Ko, who accepted the awards on behalf of TKU. President Chang expressed her deepest gratitude to the Ministry of Education for the two awards. 
</w:t>
          <w:br/>
          <w:t>The Friendly Campus Award is mostly promoted by the Office of Academic Affairs’ guidance work plan just like Gender Education Equality, Career Assistance, Educational Rights and Laws, Morale Education, Civil Education Application and Chemistry Assistance. Chih-en Kou pointed out, “The work ethic of this university is rich so we received the Friendly Campus Award in 2008. This year we have once again displayed the spirit of excellence through maintaining and developing our abilities in counseling, conduct, and academic services. Activities like the On Campus Nightclub, Professional Curriculum and integration of professional career study materials have made the results for TKU’s progress stand out.”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5d25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6bca2b2c-2a07-4dec-bd31-09bc436d75cd.jpg"/>
                      <pic:cNvPicPr/>
                    </pic:nvPicPr>
                    <pic:blipFill>
                      <a:blip xmlns:r="http://schemas.openxmlformats.org/officeDocument/2006/relationships" r:embed="R38ef007b4d16475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ef007b4d164757" /></Relationships>
</file>