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cae2ad2b3c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Yan-ling Chen Win’s First Place in English Speech Competition in Beijing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Yang-lin Wu, Tamkang Times】Second-year student of the English Department, Yan-ling Chen, represented Tamkang University in the “China Times’ 19th Annual Coca-cola National English Speech Competition” that took place in Beijing from March 21st to the 24th. Yan-ling Chen won first place in the Coca-cola sponsored competition that had representatives from 68 competing universities. Her English competency carried her smoothly through 18 different levels of the competition. In the final competition she took first place. She stated, “There were so many strong competitors from different places all over Asia. I was really scared at first, but I think being nervous helped me to find my strength in the competition. It was truly a moving experience for me.” (Picture provided by Yan-ling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9efb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0a5cadf8-17d4-4d4d-babb-c3a388fa0248.jpg"/>
                      <pic:cNvPicPr/>
                    </pic:nvPicPr>
                    <pic:blipFill>
                      <a:blip xmlns:r="http://schemas.openxmlformats.org/officeDocument/2006/relationships" r:embed="R83885339b844438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885339b8444388" /></Relationships>
</file>