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4776076b1a44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Tamkang Alumni are Satisfied with the Quality of Education they Received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Tamkang Times】The Office of Alumni Services and Resources Development ran a survey for students that have graduated from Tamkang University to gauge their level of satisfaction with the quality of education that they have received. The survey shows that 67.1 percent of graduates are satisfied with the knowledge obtained at TKU, indicating that the large majority of students at Tamkang University are getting what they are looking for. It is estimated that 60.6 percent of students that have graduated from Tamkang University find employment within their first year of graduation. 
</w:t>
          <w:br/>
          <w:t>Dean of the Office of Alumni Services and Resources Development, Chun-young Perng, expressed that the numbers of this survey have jumped up 6 percent from last year. The alumni believe these numbers are growing due to Tamkang University’s continual promotion of internships and academic-industry curriculums in accordance with the recommendation of the Ministry of Education. 
</w:t>
          <w:br/>
          <w:t>40 to 50 percent of TKU alumni expressed that they obtained their job from skills directly obtained while at this university. Chun-young Perng expressed that today employers are looking for a lot more than just grades. He stated, “They are looking for students with real potential and moldability, not to mention the importance of being a team player.”  Alumni from the Department of Public Administration, Yi-hong Lin, stated, “It’s great that the university has so many academic-industry educational programs in place, but it is important to let the students have access at these programs starting from their freshman year. That way they will have a better head start in their future career.”</w:t>
          <w:br/>
        </w:r>
      </w:r>
    </w:p>
    <w:p>
      <w:pPr>
        <w:jc w:val="center"/>
      </w:pPr>
      <w:r>
        <w:r>
          <w:drawing>
            <wp:inline xmlns:wp14="http://schemas.microsoft.com/office/word/2010/wordprocessingDrawing" xmlns:wp="http://schemas.openxmlformats.org/drawingml/2006/wordprocessingDrawing" distT="0" distB="0" distL="0" distR="0" wp14:editId="50D07946">
              <wp:extent cx="3925824" cy="2505456"/>
              <wp:effectExtent l="0" t="0" r="0" b="0"/>
              <wp:docPr id="1" name="IMG_6436c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e8c5c423-fb47-4cbb-b7c5-6021a6f260b6.jpg"/>
                      <pic:cNvPicPr/>
                    </pic:nvPicPr>
                    <pic:blipFill>
                      <a:blip xmlns:r="http://schemas.openxmlformats.org/officeDocument/2006/relationships" r:embed="R916d8a5133f240cb" cstate="print">
                        <a:extLst>
                          <a:ext uri="{28A0092B-C50C-407E-A947-70E740481C1C}"/>
                        </a:extLst>
                      </a:blip>
                      <a:stretch>
                        <a:fillRect/>
                      </a:stretch>
                    </pic:blipFill>
                    <pic:spPr>
                      <a:xfrm>
                        <a:off x="0" y="0"/>
                        <a:ext cx="3925824" cy="25054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6d8a5133f240cb" /></Relationships>
</file>