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5f283c87249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試試看你答對幾題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試試看你答對幾題：
</w:t>
          <w:br/>
          <w:t>1.（　）攝影著作的著作財產權存續期間，是從創作完成時起算，直到著作公開發表後50年為止。
</w:t>
          <w:br/>
          <w:t>2.（　）按照施工順序圖完成一件產品實物，是屬於實施的範圍，並沒有違反著作權法。
</w:t>
          <w:br/>
          <w:t>答案：1.（○）2.（○）</w:t>
          <w:br/>
        </w:r>
      </w:r>
    </w:p>
  </w:body>
</w:document>
</file>