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8a633ca0941a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938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第11任校長張家宜 運籌藍海思維 締造卓越新局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103學年度新任一級主管專訪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感謝前賢俊秀的努力耕耘，使淡江在歷經四個波段建設，以樸實剛毅的學風、博學審問的辦學理念和明辨篤行的治學態度為根基，孕育淡江文化內涵，從淡水五虎崗發展到宜蘭林美山，茁壯為擁有4個校園、8個學院、18個博士班、46個碩士班、23個碩士在職專班、48個學系組以及27,000多名學生的綜合大學。
</w:t>
          <w:br/>
          <w:t>回歸大學教育的本質，是以人才培育為核心價值，淡江三化與三環五育的全人教育理念，致力於深耕學生「全球視野、資訊運用、洞悉未來、品德倫理、獨立思考、樂活健康、團隊合作、美學涵養」的八大基本素養，使經由學程組合訓練、社團課程參與及服務學習體驗，養成解決問題的能力，勇於任事的敬業態度，形塑健全品格，具心靈卓越的國家棟樑。
</w:t>
          <w:br/>
          <w:t>然時序21世紀，國內高等教育在人口結構變化下，少子化的衝擊，使大專校院已然面對整併、轉型、退場的現實問題。在教育成本逐年提高，政府經費挹注的不確定性，各校受限學費調漲政策，面臨經營管理的嚴峻挑戰。受到經濟低迷的影響，應思考如何縮短學用差距，促成產業與教育界更趨緊密合作。而資訊時代數位化更迭，通訊軟體不斷創新，多樣的混成學習工具與時俱進，改變了高等教育的學習環境。再者，國際化已是全球躍進的趨勢，從兩岸四地到與世界的學術接軌，利用全球資源及人才的流動，發展高等教育永續的契機。
</w:t>
          <w:br/>
          <w:t>未來5年為少子化衝擊的關鍵時刻，需運用藍海思維，擬定階段性招生策略，更積極開發學生來源。本校最大的資產，是擁有24萬名校友，應健全各類型校友會運作，並積極爭取募款，作為學校發展強而有力的後盾。而各院系配合領域特色，應促使企業願意投入資源，參與人才培育，積極發展產學計畫，擴大學生實習，增加就業競爭力。此外，為順應新科技帶給高等教育的變革，適時導入社群學習、行動雲端、翻轉教室及磨課師開放課程等數位學習理念，精進教師教學型態。而處於全球高等教育國際化的時際，應充分落實與現有姊妹校進行廣泛互動，活絡國際學術交流合作，並積極參與國際學術組織，以蘊育具有國際移動力、國際觀視野的淡江人，締造卓越新局。　　
</w:t>
          <w:br/>
          <w:t>打造世界一流優質精緻綜合大學的過程，需要堅定信念與前赴後繼的不懈努力，誠如張創辦人建邦博士所言：「不斷超越自我，贏得社會的肯定…瞭解環境帶來的機會，適時回應環境變化，發展辦學的特色，才能在競爭中勝出。」
</w:t>
          <w:br/>
          <w:t>2014年7月最新世界大學網路排名（WRWU）揭曉，本校全球排名第401名、全國第8名，是唯一進入500大的私立大學。期許淡江在64年辦學績效的厚實基礎下，賡續團隊的整體執行力，承啟全面品質管理的精神，以開拓多元創新價值，激發頂尖競爭潛質，俾使淡江躋身國際卓越地位，讓世界看見淡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194304" cy="4669536"/>
              <wp:effectExtent l="0" t="0" r="0" b="0"/>
              <wp:docPr id="1" name="IMG_6fd407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38/m\a56614fc-da2c-40b2-971e-d8d92aaec78b.jpg"/>
                      <pic:cNvPicPr/>
                    </pic:nvPicPr>
                    <pic:blipFill>
                      <a:blip xmlns:r="http://schemas.openxmlformats.org/officeDocument/2006/relationships" r:embed="Rf0e11ecd5d9b47c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94304" cy="4669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0e11ecd5d9b47c5" /></Relationships>
</file>