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f8c47f36be46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938 期</w:t>
        </w:r>
      </w:r>
    </w:p>
    <w:p>
      <w:pPr>
        <w:jc w:val="center"/>
      </w:pPr>
      <w:r>
        <w:r>
          <w:rPr>
            <w:rFonts w:ascii="Segoe UI" w:hAnsi="Segoe UI" w:eastAsia="Segoe UI"/>
            <w:sz w:val="32"/>
            <w:color w:val="000000"/>
            <w:b/>
          </w:rPr>
          <w:t>TKU Makes Academic Industry Alliance Agreement with Foxlink</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Yi-ling Huang, Jin-yu Cai, Tamkang Times】The Academic Industry Alliance has once again raised the stakes! On July 21st, Tamkang University invited 200 enterprises to sign an agreement, symbolizing a new relationship of mutually beneficial networking opportunities in the near future. On August 11th TKU signed another academic industry agreement with Foxlink to expand the market of digital calligraphy from the coasts of Taiwan to the coasts of China. This agreement will create a structured platform, utilizing higher-learning resources to develop brilliant students that will preserve this traditional art form.  
</w:t>
          <w:br/>
          <w:t>President Flora Chia-I Chang expressed, “An information-oriented educational system has always been a priority of our university. Professor of the Department of Chinese, Ben-hang Chang, has been in charge of the digital calligraphy program known as e-calligraphy and has utilized it very successfully for long-distance study programs. The long-distance digital programs have become very beneficial to the university not only in terms of calligraphy, but to cross many obstacles of international learning. Signing this agreement represents preserving the future of Chinese traditions and promoting it throughout the digital world.”
</w:t>
          <w:br/>
          <w:t>Ben-hang Chang expressed, “TKU already has extensive experience in the implementation of traditional calligraphy into the digital world. This cooperation with Foxlink is sure to improve our capabilities and make a much deeper impact.”  Foxlink already has great experience with the promotion of such projects and will utilize their resources with TKU to create a strategic study platform. 
</w:t>
          <w:br/>
          <w:t>Also in August the Better Chemistry Better Life Co. revealed their three year future plan of development. Dean of the College of Science, Bo-cheng Wang, stated, “We’ve already worked together with Better Chemistry Better Life for many years to create a more in depth chemistry program. The curriculum we’ve developed is certain to cultivate students potential to a much finer degree.”</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43778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8/m\4bfdd707-6130-417f-a780-3098fce5c606.jpg"/>
                      <pic:cNvPicPr/>
                    </pic:nvPicPr>
                    <pic:blipFill>
                      <a:blip xmlns:r="http://schemas.openxmlformats.org/officeDocument/2006/relationships" r:embed="R4c44c5e6516943c1"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44c5e6516943c1" /></Relationships>
</file>