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88a69774f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蓄積競爭力 4就業學程上路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、巫旻樺淡水校園報導】本校於7月21日與近200家企業齊聚，同時簽訂產學協議書，各院系所以自身的專業特色，與企業共同攜手，開設就業學分學程。企業提供業師及實習機會，讓參與實習且成績優異之學生，畢業後優先簽約聘任。
</w:t>
          <w:br/>
          <w:t>在與本校的合作企業中，除了與中華航空公司合辦《民航學分學程》外，還有水環系與康城工程顧問公司、式新工程顧問公司，以及威陞環境科技公司合作就業學分學程，藉此以培育水環領域之人材。
</w:t>
          <w:br/>
          <w:t>而商管學院、工學院與文學院跨院14系，共同與鼎新電腦公司進行《資訊應用就業學習學分學程》的產學合作；財務金融學系則與行政院勞動部勞動力發展署合作，設置《財務風險實務就業學分學程》，課程由勞動部補助，師資由勞動部派專人及系上教授共同進行授課，本學期參與學程修習人數共25人，以期提升本校在產業界的競爭優勢。</w:t>
          <w:br/>
        </w:r>
      </w:r>
    </w:p>
  </w:body>
</w:document>
</file>