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88b53b3534e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提升學術聲望 少子化趨勢 2副校長專題報告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第138次行政會議於3日在驚聲國際會議廳舉行。校長張家宜主持，先歡迎行政團隊的新主管們。而後表示，103-105校務發展計畫應持續落實三化，定期舉行會議與追蹤。並說明近期赴香港、韓國參訪姐妹校，向海外進行標竿學習，未來亦將加強學術交流，增進教師互訪與共同研究。
</w:t>
          <w:br/>
          <w:t>學術副校長葛煥昭以「激發研究潛能，提升學術聲望」為題，說明本校與他校相比，產學合作仍待加強。他針對103-105學年度校務發展計畫藍圖，強調激發研究潛能具體作法，包括將新設研究獎補助規定，訂定要點以設立跨院系所研究團隊、特色研究中心與學術研究諮詢中心。另補助籌組國際性專業學術年會參訪團、獎勵學術競賽及國際合作研究等。此外，亦將檢討修改研究中心設置辦法、教師研究獎助法與多元升等辦法。
</w:t>
          <w:br/>
          <w:t>葛煥昭提出省思方向，以近年研究與教學獎勵之比例來看，研究獎勵總金額遠高於教學獎勵，是否該進行調整？其他具體作法尚包括，輔導淡江理工學刊進入SCI等。
</w:t>
          <w:br/>
          <w:t>行政副校長胡宜仁以「少子化趨勢下淡江行政之健檢與補強」為題，提出多項主軸：面對少子化籲開發生源，爭取境外生來臺就讀；資產活化建議將灜苑、白樓等地規劃做為產學合作基地；凝聚海內外校友向心力；節流控管部份，思考行政單位集中辦公的可能，以資訊系統加速作業流程，勵行能源節約落實數字管控。他表示，本校守謙國際會議中心持續募款，目前累積總金額達一億七仟三百萬元。
</w:t>
          <w:br/>
          <w:t>國際學院院長王高成建議，目前投稿校內期刊獎勵遠低於校外期刊，籲提高校內獎勵額度。最後，張校長指示，多項構想將可持續討論。至於產學合作中，研發處扮演媒合角色，希望很快有具體成果。</w:t>
          <w:br/>
        </w:r>
      </w:r>
    </w:p>
  </w:body>
</w:document>
</file>